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23</w:t>
      </w:r>
    </w:p>
    <w:p>
      <w:r>
        <w:t>Bundesgericht (BGE), 2011-12-16, DE</w:t>
      </w:r>
    </w:p>
    <w:p>
      <w:r>
        <w:rPr>
          <w:b/>
        </w:rPr>
        <w:t xml:space="preserve">Quelle: </w:t>
      </w:r>
      <w:r>
        <w:t>https://mcp.opencaselaw.ch/entscheid/bge_138 II 23</w:t>
      </w:r>
    </w:p>
    <w:p>
      <w:r>
        <w:t>FR: ATF 138 II 23</w:t>
      </w:r>
    </w:p>
    <w:p>
      <w:r>
        <w:t>IT: DTF 138 II 23</w:t>
      </w:r>
    </w:p>
    <w:p>
      <w:pPr>
        <w:pStyle w:val="Heading2"/>
      </w:pPr>
      <w:r>
        <w:t>Regeste</w:t>
      </w:r>
    </w:p>
    <w:p>
      <w:r>
        <w:t>Regeste Art. 78 Abs. 5 BV, Art. 7 Abs. 2 und Art. 23d Abs. 2 lit. b NHG; Bauen in Moorlandschaften, obligatorische Begutachtung bei möglicher Beeinträchtigung eines ISOS-Objekts. Art. 23d Abs. 2 lit. b NHG lässt in Moorlandschaften den Unterhalt und die Erneuerung rechtmässig erstellter Bauten und Anlagen zu, grundsätzlich aber nicht deren Erweiterung. Ausgenommen sind Anlagen oder Bauten, die dem Schutz der Moorlandschaft dienen und damit schon nach Art. 78 Abs. 5 BV zulässig sind (E. 3). Voraussetzungen der obligatorischen Begutachtung nach Art. 7 Abs. 2 NHG bei möglicher Beeinträchtigung eines ISOS-Objekts (E. 4).</w:t>
      </w:r>
    </w:p>
    <w:p>
      <w:pPr>
        <w:pStyle w:val="Heading2"/>
      </w:pPr>
      <w:r>
        <w:t>Erwägungen</w:t>
      </w:r>
    </w:p>
    <w:p>
      <w:r>
        <w:rPr>
          <w:b/>
        </w:rPr>
        <w:t>E. 2</w:t>
      </w:r>
    </w:p>
    <w:p>
      <w:r>
        <w:t>Die Insel Ufenau gehört zur Moorlandschaft "Frauenwinkel", welche unter Nr. 351 im Anhang 1 zur Verordnung vom 1. Mai 1996 über den Schutz der Moorlandschaften von besonderer Schönheit und von nationaler Bedeutung (Moorlandschaftsverordnung; SR 451.35) figuriert. Sie bildet weiter Bestandteil des BLN-Objekts Nr. 1405 "Frauenwinkel-Ufenau-Lützelau" gemäss dem Anhang zur Verordnung vom 10. August 1977 über das Bundesinventar der Landschaften und Naturdenkmäler (VBLN; SR 451.11). Schliesslich wurde sie als Spezialfall auch ins Bundesinventar der schützenswerten Ortsbilder der Schweiz (ISOS) aufgenommen (siehe Anhang zur Verordnung vom 9. September 1981 über das Bundesinventar der schützenswerten Ortsbilder der Schweiz [VISOS; SR 451.12]).</w:t>
      </w:r>
    </w:p>
    <w:p>
      <w:r>
        <w:rPr>
          <w:b/>
        </w:rPr>
        <w:t>E. 3.1</w:t>
      </w:r>
    </w:p>
    <w:p>
      <w:r>
        <w:t>Die Beschwerdeführerin wendet sich primär gegen den geplanten Neubau des Sommerrestaurants. Ein Neubau verletzt ihrer BGE 138 II 23 S. 26 Ansicht nach Art. 23d des Bundesgesetzes vom 1. Juli 1966 über den Natur- und Heimatschutz (NHG; SR 451), was sich insbesondere aus Abs. 2 lit. b dieser Bestimmung ergebe. Dem Vorhaben könne zudem keine nationale Bedeutung beigemessen werden. Daraus folge, dass ihm auch Art. 6 Abs. 2 NHG entgegenstehe. Schliesslich widerspreche der Neubau Art. 37a RPG (SR 700) und Art. 43 RPV (SR 700.1) sowie der kantonalen Verordnung vom 5. Mai 1980 zum Schutze des Frauenwinkels (SRSZ 722.111).</w:t>
      </w:r>
    </w:p>
    <w:p>
      <w:r>
        <w:rPr>
          <w:b/>
        </w:rPr>
        <w:t>E. 3.2</w:t>
      </w:r>
    </w:p>
    <w:p>
      <w:r>
        <w:t>Das Verwaltungsgericht führt aus, gemäss Baugesuchsunterlagen bestehe das Sommerrestaurant aus einem nicht sichtbaren Untergeschoss von 84 m 2 und einem Erdgeschoss von 230 m 2 . Die mittlere Höhe des Erdgeschosses, welches von einer auskragenden Dachfläche in der Form eines Schiffsrumpfs oder Blatts (mit einer Gesamtfläche von 438 m 2 ) bedeckt werde, betrage 4.7 m. Das Sommerrestaurant solle rund 16 m nördlich hinter das Haus zu den zwei Raben zu stehen kommen. Die maximale Länge des Dachs betrage 39 m, die maximale Breite 16 m. Zum Charakter der Insel hält das Verwaltungsgericht fest, die Ufenau sei in verschiedener Hinsicht als Spezialfall zu würdigen. Erstens habe die Klostergemeinschaft den Tatbeweis erbracht, dass sie seit alters her den Charakter dieser Insel bewahren wolle. Zweitens ergebe sich die Schutzwürdigkeit nicht allein aus den landschaftlichen Aspekten und der Vegetation, sondern auch aus den hohen architekturhistorischen Qualitäten als alter römischer und christlicher Kultort. Drittens entspreche die Bewirtung von Gästen auf der Insel einer langen Tradition. Die Bestimmungen zum Moorschutz sehen laut Verwaltungsgericht kein apodiktisches Veränderungsverbot für alle Fälle vor. So habe das Bundesgericht im Urteil 1C_43/2010 vom 25. Oktober 2010 E. 3.2 im Zusammenhang mit Art. 23d NHG ausgeführt, die Ausdehnung der Bauzonen für Wohnbauten sei in Moorlandschaften, abgesehen von der Schliessung von Baulücken und der Arrondierung der Bauzonengrenzen, grundsätzlich ausgeschlossen. Damit habe es zum Ausdruck gebracht, dass im konkreten Einzelfall (bspw. bei einer Baulücke) in zurückhaltender Weise ein Eingriff in eine Moorlandschaft noch vertretbar sein könne. Es dränge sich die Schlussfolgerung auf, dass hier eine objektspezifische Konkretisierung des Schutzziels nach Art. 23c Abs. 1 NHG eine Ersatzlösung für den bisherigen Gastronomiebetrieb zulassen könne, sofern der BGE 138 II 23 S. 27 Eingriff zurückhaltend ausfalle und schutzzielverträglich sei. Für eine solche Annahme sprächen namentlich die Charakterisierung des Vorhabens als Spezialfall, der Umstand, dass schützenswerte Arten und Biotope sowie das Flachmoor im Osten nicht tangiert würden, und schliesslich die Platzierung hinter dem Haus zu den zwei Raben. Hinzu komme, dass das Sommerrestaurant als Ersatz für den Abbruch von Anbauten am Haus zu den zwei Raben diene. Der Abbruch mache sicherlich 80 % der sichtbaren Kubatur des Sommerrestaurants aus. Die Baugesuchstellerin habe zudem mit ihrem "Insel der Stille" genannten Konzept sichergestellt, dass der Charakter der Insel als Ort der Rast und Ruhe, der Demut und Bescheidenheit, nicht beeinträchtigt werde. Im Licht all dieser Aspekte erachtete das Verwaltungsgericht eine auf Art. 23d Abs. 1 und 2 NHG gestützte Baubewilligung für das Sommerrestaurant als zulässig.</w:t>
      </w:r>
    </w:p>
    <w:p>
      <w:r>
        <w:rPr>
          <w:b/>
        </w:rPr>
        <w:t>E. 3.3</w:t>
      </w:r>
    </w:p>
    <w:p>
      <w:r>
        <w:t>Gemäss Art. 78 Abs. 5 BV sind Moore und Moorlandschaften von besonderer Schönheit und gesamtschweizerischer Bedeutung geschützt. Es dürfen darin weder Anlagen gebaut noch Bodenveränderungen vorgenommen werden. Ausgenommen sind Einrichtungen, die dem Schutz oder der bisherigen landwirtschaftlichen Nutzung der Moore und Moorlandschaften dienen. Art. 78 Abs. 5 BV sieht demnach ein absolutes Veränderungsverbot sowohl für Moore als auch für Moorlandschaften vor und lässt Ausnahmen nur zu, wenn sie dem Schutz oder der bisherigen landwirtschaftlichen Nutzung dienen. Dagegen treffen das NHG und das darauf gestützte Verordnungsrecht eine Unterscheidung zwischen Mooren (d.h. Moorbiotopen) und Moorlandschaften (siehe Art. 23b NHG ). Während bei Moorbiotopen neue landwirtschaftliche Nutzungen nur zulässig sind, wenn sie dem Schutzziel dienen, ersetzt Art. 23d NHG für Moorlandschaften das Kriterium der Schutzzieldienlichkeit durch dasjenige der Schutzzielverträglichkeit ( BGE 124 II 19 E. 5c S. 27; BGE 123 II 248 E. 3a/cc S. 252; je mit Hinweisen). In diesem Sinne lässt Art. 23d Abs. 1 NHG die Gestaltung und Nutzung von Moorlandschaften zu, soweit dies der Erhaltung der für die Moorlandschaften typischen Eigenheiten nicht widerspricht. Unter dieser Voraussetzung erklärt Abs. 2 derselben Bestimmung insbesondere für zulässig: "a. die land- und forstwirtschaftliche Nutzung; b. den Unterhalt und die Erneuerung rechtmässig erstellter Bauten und Anlagen; BGE 138 II 23 S. 28 c. Massnahmen zum Schutz von Menschen vor Naturereignissen; d. die für die Anwendung der Buchstaben a-c notwendigen Infrastrukturanlagen." Die Art. 23a ff. NHG über Moore und Moorlandschaften von besonderer Schönheit und von nationaler Bedeutung sind für das Bundesgericht massgebend ( Art. 190 BV ). Sie sind jedoch in einem Sinn auszulegen, der sie möglichst wenig vom absoluter formulierten Veränderungsverbot von Art. 78 Abs. 5 BV entfernt ( BGE 123 II 248 E. 3a/cc S. 253). Die Vorinstanz hält zu Recht fest, dass die Bestimmungen zum Moorschutz kein apodiktisches Veränderungsverbot für alle Fälle vorsehen. Zu allgemein formuliert ist jedoch die Aussage, das Bundesgericht habe im Urteil 1C_43/2010 vom 25. Oktober 2010 zum Ausdruck gebracht, dass im konkreten Einzelfall (bspw. bei einer Baulücke) in zurückhaltender Weise ein Eingriff in eine Moorlandschaft noch vertretbar sein könne. In jenem Fall ging es um eine kompakte, für gut zwei Dutzend Häuser Platz bietende, weitgehend überbaute Siedlung und es stellte sich die Frage, ob hinsichtlich einer Parzellenecke die erstmalige Einzonung in eine den Anforderungen des RPG entsprechende Bauzone zulässig sei. Das Bundesgericht hielt fest, dass die Ausdehnung der Bauzone für Wohnbauten in Moorlandschaften, abgesehen von der Schliessung von Baulücken und der Arrondierung der Bauzonengrenze, grundsätzlich ausgeschlossen ist (a.a.O., E. 3.2 und 3.3). Vorliegend geht es weder um die Schliessung einer Baulücke noch um die Arrondierung der Bauzonengrenze. Es bleibt somit bei der insofern klaren Vorgabe von Art. 23d Abs. 2 lit. b NHG (die Tatbestände von lit. a, c und d fallen offensichtlich ausser Betracht), wonach bei rechtmässig erstellten Bauten und Anlagen der Unterhalt und die Erneuerung, nicht aber eine Erweiterung zulässig ist (vgl. PETER M. KELLER, in: Kommentar NHG, 1997, N. 14 zu Art. 23d NHG ). Die Zulassung von Erweiterungen würde den verfassungsrechtlichen Rahmen sprengen. Ein entsprechender Antrag wurde im Rahmen der Gesetzesberatungen im Ständerat abgelehnt (vgl. den Antrag Küchler sowie die Voten Küchler, Bühler, Jagmetti und Cotti, AB 1992 S 619-621). Die Unzulässigkeit von Erweiterungen schliesst a fortiori den Bau neuer Gebäude aus (Urteile 1A.124/2003 vom 23. September 2003 E. 4.3, in: URP 2003 S. 731; 1A.14/1999 vom 7. März 2000 E. 3b, in: RDAF 2000 I S. 261; je mit Hinweisen). BGE 138 II 23 S. 29 Vorbehalten bleiben Anlagen oder Bauten, die dem Schutz der Moorlandschaft - direkt oder indirekt - dienen und damit schon nach Art. 78 Abs. 5 BV zulässig sind (Urteil 1A.124/2003 vom 23. September 2003 E. 4.4 mit Hinweis, in: URP 2003 S. 731). Das geplante Sommerrestaurant ist ein Neubau. Es ist zu Recht von keiner Seite behauptet worden, dieser Neubau diene dem Schutz der Moorlandschaft. Nach dem Gesagten widerspricht somit dessen Bewilligung Art. 23d NHG . Die betreffende Rüge der Beschwerdeführerin erweist sich als begründet und es kann offenbleiben, wie es sich in diesem Punkt mit den weiteren Rügen verhält.</w:t>
      </w:r>
    </w:p>
    <w:p>
      <w:r>
        <w:rPr>
          <w:b/>
        </w:rPr>
        <w:t>E. 4.1</w:t>
      </w:r>
    </w:p>
    <w:p>
      <w:r>
        <w:t>Die Beschwerdeführerin ist der Auffassung, der Abbruch des Anbaus am Haus zu den zwei Raben lasse sich nicht mit Art. 6 NHG vereinbaren. Das Gebäude sei samt Anbau ins ISOS aufgenommen worden und geniesse somit auch gesamthaft den Schutz von Art. 6 NHG . Ein gleich- oder höherwertiges Interesse von nationaler Bedeutung, welches gemäss Art. 6 Abs. 2 NHG ein Abweichen von der ungeschmälerten Erhaltung im Sinne des Inventars rechtfertigen könnte, bestehe nicht. Die Beschwerdeführerin weist in diesem Zusammenhang darauf hin, dass der Anbau in seiner aktuellen Gestalt erst seit 1938/39 bestehe, dass es jedoch immer einen Anbau gegeben habe. Der Abbruch würde somit eine Fassade freilegen, die nie sichtbar gewesen sei. Nicht überzeugend sei sodann die Vermutung des Verwaltungsgerichts, die Eidgenössische Kommission für Denkmalpflege (EKD) habe auf eine Stellungnahme verzichtet, weil sie keine grundsätzlichen Einwendungen gegen den Rückbau habe.</w:t>
      </w:r>
    </w:p>
    <w:p>
      <w:r>
        <w:rPr>
          <w:b/>
        </w:rPr>
        <w:t>E. 4.2</w:t>
      </w:r>
    </w:p>
    <w:p>
      <w:r>
        <w:t>Das Verwaltungsgericht führt aus, der Holzanbau von 1938/39 habe frühere, kleinere Holzanbauten abgelöst, die insbesondere für Abortanlagen und Brennholzlager dienten. Neben dieser Anbaute bestehe noch eine zweite auf der Ostseite, welche ebenfalls aus dem 20. Jahrhundert stamme. Der Bauherr beabsichtige im Wesentlichen, das der Pächterfamilie als Wohnhaus dienende Gebäude auf seine barocke Gestalt zurückzuführen und sämtliche Holzanbauten aus dem 20. Jahrhundert zu entfernen. Das Baugesuch beinhalte des Weiteren Nebenräume für den Gastronomiebetrieb (WCs für das Personal und für Rollstuhlfahrer etc.) und auf der Nordseite eine Dachlukarne. Die Eidgenössische Natur- und Heimatschutzkommission (ENHK) habe in ihrem Gutachten vom 29. Januar 2010 festgehalten, dass die BGE 138 II 23 S. 30 geplanten Massnahmen zu den landschaftlichen Schutzzielen nicht in Konflikt stünden. Angesichts der grundsätzlich negativen Beurteilung des Sommerrestaurants habe die ENHK in Absprache mit dem Präsidium der EKD auf deren Einbezug verzichtet. Eine Beurteilung der Bauvorhaben am Haus zu den zwei Raben habe jedoch die kantonale Denkmalpflege vorgenommen. Sie habe erwogen, dass nicht zwingend irgendein Holzvorbau bestehen müsse, auch wenn es zu verschiedenen Zeiten auf der Nordseite etwelche Holzanbauten gegeben habe. Der aktuelle Anbau besitze zudem keine architektonischen Qualitäten. Er wäre wegen seiner Dimensionen aus denkmalpflegerischer Sicht gar nicht bewilligungsfähig und es sei zu begrüssen, dass er abgebrochen werde. Der Stellungnahme der kantonalen Denkmalpflege folgend gelangte das Verwaltungsgericht zum Schluss, dass der Abbruch den Schutzzwecken förderlich ist. Im ISOS werde der Anbau von 1938/39 mit keinem Wort thematisiert. Auch auf den im ISOS abgedruckten Fotos trete er kaum in Erscheinung. Aus dem Verzicht der EKD auf eine Stellungnahme lasse sich zudem die Vermutung ableiten, dass diese keine grundsätzlichen Einwände gegen den Rückbau habe. Da somit nicht von einem Abweichen von den Schutzzielen im Sinne von Art. 6 NHG gesprochen werden könne, spiele es keine Rolle, ob das konkrete Bauvorhaben nationale Bedeutung aufweise oder nicht.</w:t>
      </w:r>
    </w:p>
    <w:p>
      <w:r>
        <w:rPr>
          <w:b/>
        </w:rPr>
        <w:t>E. 4.3</w:t>
      </w:r>
    </w:p>
    <w:p>
      <w:r>
        <w:t>Die ENHK hielt in ihrem Gutachten vom 29. Januar 2010 zu den geplanten Veränderungen am Haus zu den zwei Raben fest, hinsichtlich der landschaftlichen Schutzziele bestünden keine Konflikte. Sie müssten jedoch in erster Linie aus denkmalpflegerischer Sicht und hinsichtlich des Schutzziels der Erhaltung der historischen Bausubstanz beurteilt werden. Zuständig für diese Beurteilung sei die EKD. Angesichts der grundsätzlich negativen Beurteilung des geplanten Sommerrestaurants habe die ENHK jedoch, in Absprache mit dem Präsidium der EKD, auf deren Einbezug verzichtet.</w:t>
      </w:r>
    </w:p>
    <w:p>
      <w:r>
        <w:rPr>
          <w:b/>
        </w:rPr>
        <w:t>E. 4.4</w:t>
      </w:r>
    </w:p>
    <w:p>
      <w:r>
        <w:t>Im ISOS werden unter dem Titel "Qualifikation" (auf dem sogenannten "O-Blatt") die hohen architekturhistorischen Qualitäten der Ufenau als alter römischer und christlicher Kultort mit zwei überdurchschnittlich gut erhaltenen romanischen Kirchen hervorgehoben. Der Holzanbau von 1938/39 wird nicht eigens erwähnt. Nicht eigens erwähnt wird indessen auch das Haus zu den zwei Raben selbst, woraus ersichtlich wird, dass dies für die Schutzwürdigkeit nicht ausschlaggebend ist. Das Haus zu den zwei Raben wird BGE 138 II 23 S. 31 denn auch auf dem "L-Blatt" in seiner Gesamtheit aufgeführt; störende Elemente sind nicht verzeichnet. Das Erhaltungsziel wird mit "A" angegeben, wobei dies das Erhalten der Substanz (d.h. das integrale Erhalten aller Bauten, Anlageteile und Freiräume sowie die Beseitigung störender Eingriffe) bedeutet. Vor diesem Hintergrund geht es nicht an, wenn die Vorinstanz den Abbruch der Anbaute als Beseitigung eines störenden Eingriffs und als begrüssenswert bezeichnet. Gemäss Art. 7 NHG obliegt die Beurteilung, ob ein Gutachten einer eidgenössischen Kommission i.S.v. Art. 25 Abs. 1 NHG einzuholen ist, der kantonalen Fachstelle, wenn für die Erfüllung einer Bundesaufgabe der Kanton zuständig ist (Abs. 1). Die Begutachtung ist obligatorisch, wenn bei der Erfüllung der Bundesaufgabe ein Objekt, das in einem Inventar des Bundes nach Art. 5 NHG aufgeführt ist, erheblich beeinträchtigt werden kann oder sich in diesem Zusammenhang grundsätzliche Fragen stellen. In diesem Fall verfasst die Kommission zuhanden der Entscheidbehörde ein Gutachten, in dem sie angibt, ob das Objekt ungeschmälert zu erhalten oder wie es zu schonen ist (Abs. 2). Das Ortsbild "Ufenau" kann durch den geplanten Abbruch der gross dimensionierten Anbaute erheblich beeinträchtigt werden. Da es dabei zudem um eine Bundesaufgabe geht (vgl. nicht publ. E. 1), ist die Begutachtung gemäss Art. 7 Abs. 2 NHG obligatorisch. Aufgrund der in E. 4.3 hiervor wiedergegebenen Ausführungen der ENHK kann nicht gesagt werden, dass die EKD implizit ein Attest der Unbedenklichkeit abgegeben hätte. Es trifft mit anderen Worten nicht zu, dass die ENHK auf den Einbezug der EKD verzichtete, weil die EKD keine grundsätzlichen Einwände gegen den Rückbau erhoben hatte. Vielmehr ging die ENHK - wie im Übrigen auch das Verwaltungsgericht - von einem engen Zusammenhang der verschiedenen Bauvorhaben aus und sah deshalb von einem Beizug der EKD ab. Sollte die Baugesuchstellerin trotz der Unmöglichkeit der Realisierung des Sommerrestaurants am Abbruch der Anbaute am Haus zu den zwei Raben festhalten oder sollte sie ihr Projekt vor diesem Hintergrund modifizieren wollen, so wäre deshalb ein Gutachten gemäss Art. 7 Abs. 2 NHG einzuholen. Während die ENHK aus Sicht des Landschaftsschutzes bereits Stellung bezogen hat, ist die beim Abbruch der Anbaute im Vordergrund stehende BGE 138 II 23 S. 32 denkmalpflegerische Beurteilung bisher unterblieben. Dafür zuständig ist die EKD (Art. 23 Abs. 1 lit. b und 4 sowie Art. 25 Abs. 1 lit. d der Verordnung vom 16. Januar 1991 über den Natur- und Heimatschutz [NHV; SR 451.1] ; Urteil 1C_409/2008 vom 8. April 2009 E. 4.4, nicht publ. in: BGE 135 II 238 ). Aufgrund der fehlenden Bewilligungsfähigkeit des Sommerrestaurants und der damit zusammenhängenden Unsicherheit über das gesamte Bauvorhaben ist davon abzusehen, die Stellungnahme der EKD im bundesgerichtlichen Verfahren einzuholen. Dies wird gegebenenfalls im weiteren Verfahren notwendig sein (vgl. zum Ganzen: Urteil 1C_361/2008 vom 27. April 2009 E. 7,in: URP 2009 S. 877). Der Antrag der Beschwerdeführerin ist in diesem Umfang gutzuheissen. Soweit sie über eine Rückweisung derAngelegenheit hinaus bereits im jetzigen Zeitpunkt die Verweigerung der Baubewilligung verlangt, ist ihr Antrag dagegen abzuweisen.Eine Auseinandersetzung mit der weiteren Kritik der Beschwerdeführerin im Zusammenhang mit dem Abbruch der Anbaute erübrigt sich somit.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